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0169C3" w:rsidRPr="000169C3" w:rsidRDefault="00BB4116" w:rsidP="00B365E3">
            <w:pPr>
              <w:rPr>
                <w:rStyle w:val="Firstpagetablebold"/>
              </w:rPr>
            </w:pPr>
            <w:r>
              <w:rPr>
                <w:rStyle w:val="Firstpagetablebold"/>
              </w:rPr>
              <w:t>To:</w:t>
            </w:r>
          </w:p>
        </w:tc>
        <w:tc>
          <w:tcPr>
            <w:tcW w:w="6407" w:type="dxa"/>
            <w:hideMark/>
          </w:tcPr>
          <w:p w:rsidR="00B12E70" w:rsidRDefault="00B12E70" w:rsidP="00B365E3">
            <w:pPr>
              <w:rPr>
                <w:rStyle w:val="Firstpagetablebold"/>
              </w:rPr>
            </w:pPr>
          </w:p>
          <w:p w:rsidR="00BB4116" w:rsidRDefault="000169C3" w:rsidP="00B365E3">
            <w:pPr>
              <w:rPr>
                <w:rStyle w:val="Firstpagetablebold"/>
              </w:rPr>
            </w:pPr>
            <w:r>
              <w:rPr>
                <w:rStyle w:val="Firstpagetablebold"/>
              </w:rPr>
              <w:t>Annual Council</w:t>
            </w:r>
          </w:p>
        </w:tc>
      </w:tr>
      <w:tr w:rsidR="000169C3" w:rsidTr="00BB4116">
        <w:tc>
          <w:tcPr>
            <w:tcW w:w="2438" w:type="dxa"/>
            <w:gridSpan w:val="2"/>
          </w:tcPr>
          <w:p w:rsidR="000169C3" w:rsidRDefault="000169C3" w:rsidP="00B365E3">
            <w:pPr>
              <w:rPr>
                <w:rStyle w:val="Firstpagetablebold"/>
              </w:rPr>
            </w:pPr>
            <w:r>
              <w:rPr>
                <w:rStyle w:val="Firstpagetablebold"/>
              </w:rPr>
              <w:t>Date:</w:t>
            </w:r>
          </w:p>
        </w:tc>
        <w:tc>
          <w:tcPr>
            <w:tcW w:w="6407" w:type="dxa"/>
          </w:tcPr>
          <w:p w:rsidR="000169C3" w:rsidRDefault="000169C3" w:rsidP="00B365E3">
            <w:pPr>
              <w:rPr>
                <w:rStyle w:val="Firstpagetablebold"/>
              </w:rPr>
            </w:pPr>
            <w:r>
              <w:rPr>
                <w:rStyle w:val="Firstpagetablebold"/>
              </w:rPr>
              <w:t>19 May 2021</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BB4116" w:rsidP="00B365E3">
            <w:pPr>
              <w:rPr>
                <w:rStyle w:val="Firstpagetablebold"/>
              </w:rPr>
            </w:pPr>
            <w:r>
              <w:rPr>
                <w:rStyle w:val="Firstpagetablebold"/>
              </w:rPr>
              <w:t>Head of Law and Governance</w:t>
            </w:r>
            <w:r w:rsidR="004D29FE">
              <w:rPr>
                <w:rStyle w:val="Firstpagetablebold"/>
              </w:rPr>
              <w:t xml:space="preserve"> on behalf of the </w:t>
            </w:r>
            <w:r w:rsidR="00DB59F5">
              <w:rPr>
                <w:rStyle w:val="Firstpagetablebold"/>
              </w:rPr>
              <w:t>Head of Paid Service (</w:t>
            </w:r>
            <w:r w:rsidR="004D29FE">
              <w:rPr>
                <w:rStyle w:val="Firstpagetablebold"/>
              </w:rPr>
              <w:t>Chief Executive</w:t>
            </w:r>
            <w:r w:rsidR="00DB59F5">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0169C3">
            <w:pPr>
              <w:rPr>
                <w:rStyle w:val="Firstpagetablebold"/>
                <w:sz w:val="8"/>
              </w:rPr>
            </w:pPr>
            <w:r>
              <w:rPr>
                <w:rStyle w:val="Firstpagetablebold"/>
              </w:rPr>
              <w:t>D</w:t>
            </w:r>
            <w:r w:rsidRPr="00BB4116">
              <w:rPr>
                <w:rStyle w:val="Firstpagetablebold"/>
              </w:rPr>
              <w:t>ec</w:t>
            </w:r>
            <w:r w:rsidR="00DC3B68">
              <w:rPr>
                <w:rStyle w:val="Firstpagetablebold"/>
              </w:rPr>
              <w:t xml:space="preserve">isions taken </w:t>
            </w:r>
            <w:r w:rsidR="000169C3">
              <w:rPr>
                <w:rStyle w:val="Firstpagetablebold"/>
              </w:rPr>
              <w:t>under Part</w:t>
            </w:r>
            <w:r w:rsidR="00B12E70">
              <w:rPr>
                <w:rStyle w:val="Firstpagetablebold"/>
              </w:rPr>
              <w:t xml:space="preserve"> 9.3</w:t>
            </w:r>
            <w:r w:rsidR="000169C3">
              <w:rPr>
                <w:rStyle w:val="Firstpagetablebold"/>
              </w:rPr>
              <w:t>(b)</w:t>
            </w:r>
            <w:r w:rsidRPr="00BB4116">
              <w:rPr>
                <w:rStyle w:val="Firstpagetablebold"/>
              </w:rPr>
              <w:t xml:space="preserve"> 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BB4116" w:rsidP="00DC6CCF">
            <w:r>
              <w:t xml:space="preserve">Council </w:t>
            </w:r>
            <w:r w:rsidR="000169C3">
              <w:t xml:space="preserve">is </w:t>
            </w:r>
            <w:r>
              <w:t xml:space="preserve">asked to note the decisions taken by the </w:t>
            </w:r>
            <w:r w:rsidR="00DB59F5">
              <w:t>Head of Paid Service (Chief Executive)</w:t>
            </w:r>
            <w:r w:rsidR="003D56D2">
              <w:t xml:space="preserve"> </w:t>
            </w:r>
            <w:r w:rsidR="00DC3B68">
              <w:t xml:space="preserve">using the </w:t>
            </w:r>
            <w:r w:rsidR="003D56D2">
              <w:t>powers</w:t>
            </w:r>
            <w:r w:rsidR="00DC3B68">
              <w:t xml:space="preserve"> delegated in </w:t>
            </w:r>
            <w:r w:rsidR="000C3011">
              <w:t>P</w:t>
            </w:r>
            <w:r w:rsidR="000169C3">
              <w:t>art</w:t>
            </w:r>
            <w:r w:rsidR="000C3011">
              <w:t xml:space="preserve"> 9.3(b) of </w:t>
            </w:r>
            <w:r w:rsidR="00DC3B68">
              <w:t>the Constitution</w:t>
            </w:r>
            <w:r w:rsidR="003D56D2">
              <w:t>.</w:t>
            </w:r>
            <w:r>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0169C3">
            <w:r>
              <w:rPr>
                <w:rStyle w:val="Firstpagetablebold"/>
              </w:rPr>
              <w:t xml:space="preserve">Recommendation(s): </w:t>
            </w:r>
            <w:r w:rsidR="00DC3B68">
              <w:rPr>
                <w:rStyle w:val="Firstpagetablebold"/>
              </w:rPr>
              <w:t>Council</w:t>
            </w:r>
            <w:r w:rsidR="000169C3">
              <w:rPr>
                <w:rStyle w:val="Firstpagetablebold"/>
              </w:rPr>
              <w:t xml:space="preserve"> is</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BB4116" w:rsidP="00B365E3">
            <w:r>
              <w:rPr>
                <w:rStyle w:val="Firstpagetablebold"/>
              </w:rPr>
              <w:t xml:space="preserve">Note </w:t>
            </w:r>
            <w:r w:rsidRPr="000169C3">
              <w:rPr>
                <w:rStyle w:val="Firstpagetablebold"/>
                <w:b w:val="0"/>
              </w:rPr>
              <w:t>the decisions taken as set out in the report.</w:t>
            </w:r>
            <w:r>
              <w:rPr>
                <w:rStyle w:val="Firstpagetablebold"/>
              </w:rPr>
              <w:t xml:space="preserve">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CC2D82">
        <w:tc>
          <w:tcPr>
            <w:tcW w:w="2438" w:type="dxa"/>
            <w:tcBorders>
              <w:top w:val="single" w:sz="8" w:space="0" w:color="000000"/>
              <w:left w:val="single" w:sz="8" w:space="0" w:color="000000"/>
              <w:bottom w:val="single" w:sz="4" w:space="0" w:color="auto"/>
              <w:right w:val="nil"/>
            </w:tcBorders>
            <w:shd w:val="clear" w:color="auto" w:fill="auto"/>
          </w:tcPr>
          <w:p w:rsidR="00CC2D82" w:rsidRPr="00CC2D82" w:rsidRDefault="000169C3" w:rsidP="00CC2D82">
            <w:pPr>
              <w:rPr>
                <w:rFonts w:eastAsia="Arial Unicode MS"/>
              </w:rPr>
            </w:pPr>
            <w:r>
              <w:rPr>
                <w:rFonts w:eastAsia="Arial Unicode MS"/>
              </w:rPr>
              <w:t>None</w:t>
            </w:r>
          </w:p>
        </w:tc>
        <w:tc>
          <w:tcPr>
            <w:tcW w:w="6406" w:type="dxa"/>
            <w:tcBorders>
              <w:top w:val="single" w:sz="8" w:space="0" w:color="000000"/>
              <w:left w:val="nil"/>
              <w:bottom w:val="single" w:sz="4" w:space="0" w:color="auto"/>
              <w:right w:val="single" w:sz="8" w:space="0" w:color="000000"/>
            </w:tcBorders>
          </w:tcPr>
          <w:p w:rsidR="00CC2D82" w:rsidRPr="00CC2D82" w:rsidRDefault="00CC2D82" w:rsidP="00CC2D82">
            <w:pPr>
              <w:rPr>
                <w:rFonts w:eastAsia="Arial Unicode MS"/>
              </w:rPr>
            </w:pP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Council on </w:t>
      </w:r>
      <w:r w:rsidR="00B365E3">
        <w:t xml:space="preserve">decisions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0169C3">
        <w:t xml:space="preserve"> to the Chief Executive</w:t>
      </w:r>
      <w:r w:rsidR="00B365E3">
        <w:t xml:space="preserve"> in</w:t>
      </w:r>
      <w:r w:rsidR="000169C3">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P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0C3011" w:rsidRPr="005C1B66" w:rsidRDefault="005C1B66" w:rsidP="005C1B66">
      <w:pPr>
        <w:rPr>
          <w:b/>
        </w:rPr>
      </w:pPr>
      <w:r w:rsidRPr="005C1B66">
        <w:rPr>
          <w:b/>
        </w:rPr>
        <w:lastRenderedPageBreak/>
        <w:t>Decisions taken using urgency and emergency powers</w:t>
      </w:r>
    </w:p>
    <w:p w:rsidR="00BB4116" w:rsidRPr="00CC2D82" w:rsidRDefault="000C3011" w:rsidP="00993F51">
      <w:pPr>
        <w:pStyle w:val="ListParagraph"/>
        <w:ind w:left="426" w:hanging="426"/>
      </w:pPr>
      <w:r>
        <w:t xml:space="preserve">The following decisions have been taken </w:t>
      </w:r>
      <w:r w:rsidR="005C1B66">
        <w:t xml:space="preserve">using urgency powers </w:t>
      </w:r>
      <w:r>
        <w:t xml:space="preserve">for which Council would </w:t>
      </w:r>
      <w:r w:rsidR="005C1B66">
        <w:t>otherwise</w:t>
      </w:r>
      <w:r>
        <w:t xml:space="preserve"> have been required to give the necessary authority to act. </w:t>
      </w:r>
      <w:r w:rsidR="001D1097" w:rsidRPr="001D1097">
        <w:t>Council is re</w:t>
      </w:r>
      <w:r w:rsidR="000169C3">
        <w:t>sponsible for agreeing or changing revenue and capital budgets and for setting housing rents</w:t>
      </w:r>
      <w:r w:rsidR="001D1097" w:rsidRPr="001D1097">
        <w:t>.</w:t>
      </w:r>
      <w:r w:rsidR="001D1097">
        <w:t xml:space="preserve"> </w:t>
      </w:r>
      <w:r w:rsidR="00CF05DA">
        <w:t xml:space="preserve">Council </w:t>
      </w:r>
      <w:r w:rsidR="000169C3">
        <w:t>is</w:t>
      </w:r>
      <w:r w:rsidR="00CF05DA">
        <w:t xml:space="preserve"> asked to note these decisions</w:t>
      </w:r>
      <w:r w:rsidR="00CF05DA" w:rsidRPr="000C3011">
        <w:rPr>
          <w:color w:val="FF0000"/>
        </w:rPr>
        <w:t>.</w:t>
      </w:r>
    </w:p>
    <w:p w:rsidR="00CC2D82" w:rsidRDefault="00CC2D82" w:rsidP="00CC2D82">
      <w:pPr>
        <w:pStyle w:val="ListParagraph"/>
        <w:numPr>
          <w:ilvl w:val="0"/>
          <w:numId w:val="0"/>
        </w:numPr>
        <w:ind w:left="360"/>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017"/>
        <w:gridCol w:w="2527"/>
        <w:gridCol w:w="1089"/>
        <w:gridCol w:w="4418"/>
        <w:gridCol w:w="310"/>
      </w:tblGrid>
      <w:tr w:rsidR="00CC2D82" w:rsidRPr="00DC6CCF" w:rsidTr="00DC6CCF">
        <w:tc>
          <w:tcPr>
            <w:tcW w:w="1017" w:type="dxa"/>
            <w:noWrap/>
          </w:tcPr>
          <w:p w:rsidR="00CC2D82" w:rsidRPr="00DC6CCF" w:rsidRDefault="00CC2D82" w:rsidP="00DC6CCF">
            <w:pPr>
              <w:pStyle w:val="Normal17"/>
              <w:overflowPunct/>
              <w:autoSpaceDE/>
              <w:autoSpaceDN/>
              <w:adjustRightInd/>
              <w:textAlignment w:val="auto"/>
              <w:rPr>
                <w:rFonts w:cs="Arial"/>
                <w:b/>
                <w:sz w:val="24"/>
                <w:szCs w:val="24"/>
              </w:rPr>
            </w:pPr>
            <w:r w:rsidRPr="00DC6CCF">
              <w:rPr>
                <w:rFonts w:cs="Arial"/>
                <w:b/>
                <w:sz w:val="24"/>
                <w:szCs w:val="24"/>
                <w:bdr w:val="nil"/>
              </w:rPr>
              <w:t xml:space="preserve">ITEM 1 </w:t>
            </w:r>
          </w:p>
        </w:tc>
        <w:tc>
          <w:tcPr>
            <w:tcW w:w="8344" w:type="dxa"/>
            <w:gridSpan w:val="4"/>
          </w:tcPr>
          <w:p w:rsidR="00CC2D82" w:rsidRPr="00DC6CCF" w:rsidRDefault="000169C3" w:rsidP="00DC6CCF">
            <w:pPr>
              <w:pStyle w:val="Normal17"/>
              <w:rPr>
                <w:rFonts w:cs="Arial"/>
                <w:b/>
                <w:caps/>
                <w:sz w:val="24"/>
                <w:szCs w:val="24"/>
              </w:rPr>
            </w:pPr>
            <w:r w:rsidRPr="00DC6CCF">
              <w:rPr>
                <w:rFonts w:cs="Arial"/>
                <w:b/>
                <w:caps/>
                <w:sz w:val="24"/>
                <w:szCs w:val="24"/>
              </w:rPr>
              <w:t>Agreement of the Oxford City Council Coronavirus Additional Restrictions Grant (ARG) Scheme</w:t>
            </w:r>
          </w:p>
        </w:tc>
      </w:tr>
      <w:tr w:rsidR="00CC2D82" w:rsidRPr="00DC6CCF" w:rsidTr="00DC6CCF">
        <w:tblPrEx>
          <w:tblCellMar>
            <w:top w:w="0" w:type="dxa"/>
            <w:left w:w="108" w:type="dxa"/>
            <w:right w:w="108" w:type="dxa"/>
          </w:tblCellMar>
          <w:tblLook w:val="04A0" w:firstRow="1" w:lastRow="0" w:firstColumn="1" w:lastColumn="0" w:noHBand="0" w:noVBand="1"/>
        </w:tblPrEx>
        <w:tc>
          <w:tcPr>
            <w:tcW w:w="9361" w:type="dxa"/>
            <w:gridSpan w:val="5"/>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bCs/>
                <w:sz w:val="24"/>
                <w:szCs w:val="24"/>
              </w:rPr>
            </w:pPr>
            <w:r w:rsidRPr="00DC6CCF">
              <w:rPr>
                <w:rFonts w:cs="Arial"/>
                <w:b/>
                <w:bCs/>
                <w:sz w:val="24"/>
                <w:szCs w:val="24"/>
              </w:rPr>
              <w:t xml:space="preserve">Decision: </w:t>
            </w:r>
          </w:p>
          <w:p w:rsidR="000169C3" w:rsidRPr="00DC6CCF" w:rsidRDefault="000169C3" w:rsidP="00DC6CCF">
            <w:pPr>
              <w:rPr>
                <w:rFonts w:cs="Arial"/>
                <w:szCs w:val="24"/>
              </w:rPr>
            </w:pPr>
            <w:r w:rsidRPr="00DC6CCF">
              <w:rPr>
                <w:rFonts w:cs="Arial"/>
                <w:szCs w:val="24"/>
              </w:rPr>
              <w:t>The decision has been made to:</w:t>
            </w:r>
          </w:p>
          <w:p w:rsidR="000169C3" w:rsidRPr="00DC6CCF" w:rsidRDefault="000169C3" w:rsidP="00DC6CCF">
            <w:pPr>
              <w:rPr>
                <w:rFonts w:cs="Arial"/>
                <w:szCs w:val="24"/>
              </w:rPr>
            </w:pPr>
            <w:r w:rsidRPr="00DC6CCF">
              <w:rPr>
                <w:rFonts w:cs="Arial"/>
                <w:szCs w:val="24"/>
              </w:rPr>
              <w:t>a)    Increase the budget to the full £5,394,374 allocation of ARG, subject to the Council receiving additional funding of £991,374 (current budget £4,403,000).</w:t>
            </w:r>
          </w:p>
          <w:p w:rsidR="000169C3" w:rsidRPr="00DC6CCF" w:rsidRDefault="000169C3" w:rsidP="00DC6CCF">
            <w:pPr>
              <w:rPr>
                <w:rFonts w:cs="Arial"/>
                <w:szCs w:val="24"/>
              </w:rPr>
            </w:pPr>
            <w:r w:rsidRPr="00DC6CCF">
              <w:rPr>
                <w:rFonts w:cs="Arial"/>
                <w:szCs w:val="24"/>
              </w:rPr>
              <w:t>b)    Authorise spending over the £2.8m already committed up to a maximum of £5,394,374, subject to additional funding of £991,374 being received, or if not up to a maximum spend of £4,403,000.</w:t>
            </w:r>
          </w:p>
          <w:p w:rsidR="000169C3" w:rsidRPr="00DC6CCF" w:rsidRDefault="000169C3" w:rsidP="00DC6CCF">
            <w:pPr>
              <w:rPr>
                <w:rFonts w:cs="Arial"/>
                <w:szCs w:val="24"/>
              </w:rPr>
            </w:pPr>
            <w:r w:rsidRPr="00DC6CCF">
              <w:rPr>
                <w:rFonts w:cs="Arial"/>
                <w:szCs w:val="24"/>
              </w:rPr>
              <w:t>c)    Note the projected allocation for schemes.</w:t>
            </w:r>
          </w:p>
          <w:p w:rsidR="00CC2D82" w:rsidRPr="00DC6CCF" w:rsidRDefault="000169C3" w:rsidP="00DC6CCF">
            <w:pPr>
              <w:rPr>
                <w:rFonts w:cs="Arial"/>
                <w:szCs w:val="24"/>
              </w:rPr>
            </w:pPr>
            <w:r w:rsidRPr="00DC6CCF">
              <w:rPr>
                <w:rFonts w:cs="Arial"/>
                <w:szCs w:val="24"/>
              </w:rPr>
              <w:t>d)    Delegate decisions to increase and decrease specific scheme budgets, within the total ARG allocation, to the Director of Development, in consultation with the Leader and Cabinet Member for Economic Development and Partnerships.</w:t>
            </w:r>
          </w:p>
        </w:tc>
      </w:tr>
      <w:tr w:rsidR="00CC2D82" w:rsidRPr="00DC6CCF"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b/>
                <w:bCs/>
                <w:sz w:val="24"/>
                <w:szCs w:val="24"/>
              </w:rPr>
            </w:pPr>
            <w:r w:rsidRPr="00DC6CCF">
              <w:rPr>
                <w:rFonts w:cs="Arial"/>
                <w:b/>
                <w:bCs/>
                <w:sz w:val="24"/>
                <w:szCs w:val="24"/>
              </w:rPr>
              <w:t>Date decision made:</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DC6CCF" w:rsidP="00DC6CCF">
            <w:pPr>
              <w:pStyle w:val="Normal17"/>
              <w:rPr>
                <w:rFonts w:cs="Arial"/>
                <w:sz w:val="24"/>
                <w:szCs w:val="24"/>
              </w:rPr>
            </w:pPr>
            <w:r w:rsidRPr="00DC6CCF">
              <w:rPr>
                <w:rFonts w:cs="Arial"/>
                <w:sz w:val="24"/>
                <w:szCs w:val="24"/>
              </w:rPr>
              <w:t>27 April 2021</w:t>
            </w:r>
          </w:p>
        </w:tc>
      </w:tr>
      <w:tr w:rsidR="00CC2D82" w:rsidRPr="00DC6CCF"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b/>
                <w:bCs/>
                <w:sz w:val="24"/>
                <w:szCs w:val="24"/>
              </w:rPr>
            </w:pPr>
            <w:r w:rsidRPr="00DC6CCF">
              <w:rPr>
                <w:rFonts w:cs="Arial"/>
                <w:b/>
                <w:bCs/>
                <w:sz w:val="24"/>
                <w:szCs w:val="24"/>
              </w:rPr>
              <w:t>Decision taker</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DC6CCF" w:rsidP="00DC6CCF">
            <w:pPr>
              <w:pStyle w:val="Normal17"/>
              <w:rPr>
                <w:rFonts w:cs="Arial"/>
                <w:sz w:val="24"/>
                <w:szCs w:val="24"/>
                <w:bdr w:val="nil"/>
              </w:rPr>
            </w:pPr>
            <w:r>
              <w:rPr>
                <w:rFonts w:cs="Arial"/>
                <w:sz w:val="24"/>
                <w:szCs w:val="24"/>
                <w:bdr w:val="nil"/>
              </w:rPr>
              <w:t xml:space="preserve">Caroline Green, </w:t>
            </w:r>
            <w:r w:rsidR="005043A3" w:rsidRPr="00DC6CCF">
              <w:rPr>
                <w:rFonts w:cs="Arial"/>
                <w:sz w:val="24"/>
                <w:szCs w:val="24"/>
                <w:bdr w:val="nil"/>
              </w:rPr>
              <w:t>Head of Paid Service (</w:t>
            </w:r>
            <w:r w:rsidR="00CC2D82" w:rsidRPr="00DC6CCF">
              <w:rPr>
                <w:rFonts w:cs="Arial"/>
                <w:sz w:val="24"/>
                <w:szCs w:val="24"/>
                <w:bdr w:val="nil"/>
              </w:rPr>
              <w:t>Chief Executive</w:t>
            </w:r>
            <w:r w:rsidR="005043A3" w:rsidRPr="00DC6CCF">
              <w:rPr>
                <w:rFonts w:cs="Arial"/>
                <w:sz w:val="24"/>
                <w:szCs w:val="24"/>
                <w:bdr w:val="nil"/>
              </w:rPr>
              <w:t>)</w:t>
            </w:r>
          </w:p>
          <w:p w:rsidR="00DC6CCF" w:rsidRPr="00DC6CCF" w:rsidRDefault="00DC6CCF" w:rsidP="00DC6CCF">
            <w:pPr>
              <w:pStyle w:val="Normal17"/>
              <w:rPr>
                <w:rFonts w:cs="Arial"/>
                <w:sz w:val="24"/>
                <w:szCs w:val="24"/>
                <w:bdr w:val="nil"/>
              </w:rPr>
            </w:pPr>
          </w:p>
          <w:p w:rsidR="00DC6CCF" w:rsidRPr="00DC6CCF" w:rsidRDefault="00DC6CCF" w:rsidP="00DC6CCF">
            <w:pPr>
              <w:pStyle w:val="Normal17"/>
              <w:rPr>
                <w:rFonts w:cs="Arial"/>
                <w:sz w:val="24"/>
                <w:szCs w:val="24"/>
              </w:rPr>
            </w:pPr>
            <w:r w:rsidRPr="00DC6CCF">
              <w:rPr>
                <w:rFonts w:cs="Arial"/>
                <w:sz w:val="24"/>
                <w:szCs w:val="24"/>
              </w:rPr>
              <w:t>Decision taken in consultation with Cllr Susan Brown, Leader and Cabinet Member for Economic Development and Partnerships, Nigel Kennedy, Head of Financial Services and Susan Sale, Head of Law and Governance.</w:t>
            </w:r>
          </w:p>
          <w:p w:rsidR="00DC6CCF" w:rsidRPr="00DC6CCF" w:rsidRDefault="00DC6CCF" w:rsidP="00DC6CCF">
            <w:pPr>
              <w:pStyle w:val="Normal17"/>
              <w:rPr>
                <w:rFonts w:cs="Arial"/>
                <w:sz w:val="24"/>
                <w:szCs w:val="24"/>
              </w:rPr>
            </w:pPr>
            <w:r w:rsidRPr="00DC6CCF">
              <w:rPr>
                <w:rFonts w:cs="Arial"/>
                <w:sz w:val="24"/>
                <w:szCs w:val="24"/>
              </w:rPr>
              <w:t> </w:t>
            </w:r>
          </w:p>
          <w:p w:rsidR="00DC6CCF" w:rsidRPr="00DC6CCF" w:rsidRDefault="00DC6CCF" w:rsidP="00DC6CCF">
            <w:pPr>
              <w:pStyle w:val="Normal17"/>
              <w:rPr>
                <w:rFonts w:cs="Arial"/>
                <w:sz w:val="24"/>
                <w:szCs w:val="24"/>
              </w:rPr>
            </w:pPr>
            <w:r w:rsidRPr="00DC6CCF">
              <w:rPr>
                <w:rFonts w:cs="Arial"/>
                <w:sz w:val="24"/>
                <w:szCs w:val="24"/>
              </w:rPr>
              <w:t>The Chair of Scrutiny agreed to the taking of an urgent key decision which had not been notified on the Council’s Forward Plan.</w:t>
            </w:r>
          </w:p>
        </w:tc>
      </w:tr>
      <w:tr w:rsidR="005043A3" w:rsidRPr="00DC6CCF" w:rsidTr="00DC6CCF">
        <w:tblPrEx>
          <w:tblCellMar>
            <w:top w:w="0" w:type="dxa"/>
            <w:left w:w="108" w:type="dxa"/>
            <w:right w:w="108" w:type="dxa"/>
          </w:tblCellMar>
          <w:tblLook w:val="04A0" w:firstRow="1" w:lastRow="0" w:firstColumn="1" w:lastColumn="0" w:noHBand="0" w:noVBand="1"/>
        </w:tblPrEx>
        <w:tc>
          <w:tcPr>
            <w:tcW w:w="3544" w:type="dxa"/>
            <w:gridSpan w:val="2"/>
            <w:shd w:val="clear" w:color="auto" w:fill="auto"/>
          </w:tcPr>
          <w:p w:rsidR="005043A3" w:rsidRPr="00DC6CCF" w:rsidRDefault="005043A3" w:rsidP="00DC6CCF">
            <w:pPr>
              <w:spacing w:before="120"/>
              <w:rPr>
                <w:rFonts w:cs="Arial"/>
                <w:szCs w:val="24"/>
              </w:rPr>
            </w:pPr>
            <w:r w:rsidRPr="00DC6CCF">
              <w:rPr>
                <w:rFonts w:cs="Arial"/>
                <w:b/>
                <w:szCs w:val="24"/>
              </w:rPr>
              <w:t>Was the decision taken under emergency or urgency rules?</w:t>
            </w:r>
          </w:p>
        </w:tc>
        <w:tc>
          <w:tcPr>
            <w:tcW w:w="5817" w:type="dxa"/>
            <w:gridSpan w:val="3"/>
            <w:shd w:val="clear" w:color="auto" w:fill="auto"/>
          </w:tcPr>
          <w:p w:rsidR="005043A3" w:rsidRPr="00DC6CCF" w:rsidRDefault="000169C3" w:rsidP="00DC6CCF">
            <w:pPr>
              <w:rPr>
                <w:rFonts w:cs="Arial"/>
                <w:szCs w:val="24"/>
              </w:rPr>
            </w:pPr>
            <w:r w:rsidRPr="00DC6CCF">
              <w:rPr>
                <w:rFonts w:cs="Arial"/>
                <w:szCs w:val="24"/>
              </w:rPr>
              <w:t>Urgency</w:t>
            </w:r>
            <w:r w:rsidR="005043A3" w:rsidRPr="00DC6CCF">
              <w:rPr>
                <w:rFonts w:cs="Arial"/>
                <w:szCs w:val="24"/>
              </w:rPr>
              <w:t xml:space="preserve"> – Constitution Part </w:t>
            </w:r>
            <w:r w:rsidR="00D23270" w:rsidRPr="00DC6CCF">
              <w:rPr>
                <w:rFonts w:cs="Arial"/>
                <w:szCs w:val="24"/>
              </w:rPr>
              <w:t>9.3(</w:t>
            </w:r>
            <w:r w:rsidRPr="00DC6CCF">
              <w:rPr>
                <w:rFonts w:cs="Arial"/>
                <w:szCs w:val="24"/>
              </w:rPr>
              <w:t>b</w:t>
            </w:r>
            <w:r w:rsidR="005043A3" w:rsidRPr="00DC6CCF">
              <w:rPr>
                <w:rFonts w:cs="Arial"/>
                <w:szCs w:val="24"/>
              </w:rPr>
              <w:t>)</w:t>
            </w:r>
          </w:p>
        </w:tc>
      </w:tr>
      <w:tr w:rsidR="00CC2D82" w:rsidRPr="00DC6CCF"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5043A3" w:rsidP="00DC6CCF">
            <w:pPr>
              <w:pStyle w:val="Normal17"/>
              <w:rPr>
                <w:rFonts w:cs="Arial"/>
                <w:b/>
                <w:bCs/>
                <w:sz w:val="24"/>
                <w:szCs w:val="24"/>
              </w:rPr>
            </w:pPr>
            <w:r w:rsidRPr="00DC6CCF">
              <w:rPr>
                <w:rFonts w:cs="Arial"/>
                <w:b/>
                <w:bCs/>
                <w:sz w:val="24"/>
                <w:szCs w:val="24"/>
              </w:rPr>
              <w:t>Is this a Key Decision?</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DC6CCF" w:rsidP="00DC6CCF">
            <w:pPr>
              <w:pStyle w:val="Normal17"/>
              <w:rPr>
                <w:rFonts w:cs="Arial"/>
                <w:bCs/>
                <w:sz w:val="24"/>
                <w:szCs w:val="24"/>
              </w:rPr>
            </w:pPr>
            <w:r w:rsidRPr="00DC6CCF">
              <w:rPr>
                <w:rFonts w:cs="Arial"/>
                <w:bCs/>
                <w:sz w:val="24"/>
                <w:szCs w:val="24"/>
              </w:rPr>
              <w:t xml:space="preserve">Key </w:t>
            </w:r>
            <w:r>
              <w:rPr>
                <w:rFonts w:cs="Arial"/>
                <w:bCs/>
                <w:sz w:val="24"/>
                <w:szCs w:val="24"/>
              </w:rPr>
              <w:t>(value &gt;£500k)</w:t>
            </w:r>
          </w:p>
        </w:tc>
      </w:tr>
      <w:tr w:rsidR="005043A3" w:rsidRPr="00DC6CCF"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DC6CCF" w:rsidRDefault="005043A3" w:rsidP="00DC6CCF">
            <w:pPr>
              <w:pStyle w:val="Normal17"/>
              <w:rPr>
                <w:rFonts w:cs="Arial"/>
                <w:b/>
                <w:bCs/>
                <w:sz w:val="24"/>
                <w:szCs w:val="24"/>
              </w:rPr>
            </w:pPr>
            <w:r w:rsidRPr="00DC6CCF">
              <w:rPr>
                <w:rFonts w:cs="Arial"/>
                <w:b/>
                <w:bCs/>
                <w:sz w:val="24"/>
                <w:szCs w:val="24"/>
              </w:rPr>
              <w:t>Reasons for decision</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rsidR="00DC6CCF" w:rsidRPr="00DC6CCF" w:rsidRDefault="00DC6CCF" w:rsidP="00DC6CCF">
            <w:pPr>
              <w:rPr>
                <w:rFonts w:cs="Arial"/>
                <w:szCs w:val="24"/>
              </w:rPr>
            </w:pPr>
            <w:r w:rsidRPr="00DC6CCF">
              <w:rPr>
                <w:rFonts w:cs="Arial"/>
                <w:szCs w:val="24"/>
              </w:rPr>
              <w:t>The grant scheme must be delivered to serve the interests of local business severely affected by COVID restrictions in line with Government guidance. A full range of proposals were considered, and implementation of the recommended proposals was decided upon, based on the scheme guidance and local economic needs.</w:t>
            </w:r>
          </w:p>
          <w:p w:rsidR="00DC6CCF" w:rsidRPr="00DC6CCF" w:rsidRDefault="00DC6CCF" w:rsidP="00DC6CCF">
            <w:pPr>
              <w:rPr>
                <w:rFonts w:cs="Arial"/>
                <w:szCs w:val="24"/>
              </w:rPr>
            </w:pPr>
            <w:r w:rsidRPr="00DC6CCF">
              <w:rPr>
                <w:rFonts w:cs="Arial"/>
                <w:szCs w:val="24"/>
              </w:rPr>
              <w:t>Recent announcements have altered the picture in terms of timing of spend. On March 3</w:t>
            </w:r>
            <w:r w:rsidRPr="00DC6CCF">
              <w:rPr>
                <w:rFonts w:cs="Arial"/>
                <w:szCs w:val="24"/>
                <w:vertAlign w:val="superscript"/>
              </w:rPr>
              <w:t>rd</w:t>
            </w:r>
            <w:r w:rsidRPr="00DC6CCF">
              <w:rPr>
                <w:rFonts w:cs="Arial"/>
                <w:szCs w:val="24"/>
              </w:rPr>
              <w:t xml:space="preserve">, an additional £991,374 of ARG funding (on top of the £4,403,000) </w:t>
            </w:r>
            <w:r w:rsidRPr="00DC6CCF">
              <w:rPr>
                <w:rFonts w:cs="Arial"/>
                <w:szCs w:val="24"/>
              </w:rPr>
              <w:lastRenderedPageBreak/>
              <w:t>was announced with a significant shift in guidance (published 22nd March). This is aimed at ensuring ARG will be used to mirror the new ‘Restart Grants’ announced for eligible rate paying businesses in the budget.</w:t>
            </w:r>
          </w:p>
          <w:p w:rsidR="00DC6CCF" w:rsidRPr="00DC6CCF" w:rsidRDefault="00DC6CCF" w:rsidP="00DC6CCF">
            <w:pPr>
              <w:rPr>
                <w:rFonts w:cs="Arial"/>
                <w:szCs w:val="24"/>
              </w:rPr>
            </w:pPr>
            <w:r w:rsidRPr="00DC6CCF">
              <w:rPr>
                <w:rFonts w:cs="Arial"/>
                <w:szCs w:val="24"/>
              </w:rPr>
              <w:t>The additional funding will only be awarded to Local Authorities that have spent their existing funding (£4,403,000) by 30 June 2021 (as opposed to the 31</w:t>
            </w:r>
            <w:r w:rsidRPr="00DC6CCF">
              <w:rPr>
                <w:rFonts w:cs="Arial"/>
                <w:szCs w:val="24"/>
                <w:vertAlign w:val="superscript"/>
              </w:rPr>
              <w:t>st</w:t>
            </w:r>
            <w:r w:rsidRPr="00DC6CCF">
              <w:rPr>
                <w:rFonts w:cs="Arial"/>
                <w:szCs w:val="24"/>
              </w:rPr>
              <w:t> March 2022 as previously indicated).</w:t>
            </w:r>
          </w:p>
          <w:p w:rsidR="00DC6CCF" w:rsidRPr="00DC6CCF" w:rsidRDefault="00DC6CCF" w:rsidP="00DC6CCF">
            <w:pPr>
              <w:rPr>
                <w:rFonts w:cs="Arial"/>
                <w:szCs w:val="24"/>
              </w:rPr>
            </w:pPr>
            <w:r w:rsidRPr="00DC6CCF">
              <w:rPr>
                <w:rFonts w:cs="Arial"/>
                <w:szCs w:val="24"/>
              </w:rPr>
              <w:t>Therefore, in order to obtain the additional funds to support local businesses further, the grant and support schemes below will be delivered and funded flexibly according to business demand and the assessed impact on individual business applicants;</w:t>
            </w:r>
          </w:p>
          <w:p w:rsidR="00DC6CCF" w:rsidRPr="00DC6CCF" w:rsidRDefault="00DC6CCF" w:rsidP="00DC6CCF">
            <w:pPr>
              <w:rPr>
                <w:rFonts w:cs="Arial"/>
                <w:szCs w:val="24"/>
              </w:rPr>
            </w:pPr>
            <w:r w:rsidRPr="00DC6CCF">
              <w:rPr>
                <w:rFonts w:cs="Arial"/>
                <w:szCs w:val="24"/>
              </w:rPr>
              <w:t>Approved Scheme 1:  ARG Short-term Fund - £2,810,000</w:t>
            </w:r>
          </w:p>
          <w:p w:rsidR="00DC6CCF" w:rsidRPr="00DC6CCF" w:rsidRDefault="00DC6CCF" w:rsidP="00DC6CCF">
            <w:pPr>
              <w:rPr>
                <w:rFonts w:cs="Arial"/>
                <w:szCs w:val="24"/>
              </w:rPr>
            </w:pPr>
            <w:r w:rsidRPr="00DC6CCF">
              <w:rPr>
                <w:rFonts w:cs="Arial"/>
                <w:szCs w:val="24"/>
              </w:rPr>
              <w:t>Approved Scheme 2: City Centre Restart Fund – £250,000</w:t>
            </w:r>
          </w:p>
          <w:p w:rsidR="00DC6CCF" w:rsidRPr="00DC6CCF" w:rsidRDefault="00DC6CCF" w:rsidP="00DC6CCF">
            <w:pPr>
              <w:rPr>
                <w:rFonts w:cs="Arial"/>
                <w:szCs w:val="24"/>
              </w:rPr>
            </w:pPr>
            <w:r w:rsidRPr="00DC6CCF">
              <w:rPr>
                <w:rFonts w:cs="Arial"/>
                <w:szCs w:val="24"/>
              </w:rPr>
              <w:t>Approved Scheme 3: Home-based / Mobile Businesses support - £300,000</w:t>
            </w:r>
          </w:p>
          <w:p w:rsidR="00DC6CCF" w:rsidRPr="00DC6CCF" w:rsidRDefault="00DC6CCF" w:rsidP="00DC6CCF">
            <w:pPr>
              <w:rPr>
                <w:rFonts w:cs="Arial"/>
                <w:szCs w:val="24"/>
              </w:rPr>
            </w:pPr>
            <w:r w:rsidRPr="00DC6CCF">
              <w:rPr>
                <w:rFonts w:cs="Arial"/>
                <w:szCs w:val="24"/>
              </w:rPr>
              <w:t>Approved Scheme 4: Restart ARG Grant (now mirroring national rate payer scheme) - £1,043,000</w:t>
            </w:r>
          </w:p>
          <w:p w:rsidR="00DC6CCF" w:rsidRPr="00DC6CCF" w:rsidRDefault="00DC6CCF" w:rsidP="00DC6CCF">
            <w:pPr>
              <w:rPr>
                <w:rFonts w:cs="Arial"/>
                <w:szCs w:val="24"/>
              </w:rPr>
            </w:pPr>
            <w:r w:rsidRPr="00DC6CCF">
              <w:rPr>
                <w:rFonts w:cs="Arial"/>
                <w:szCs w:val="24"/>
              </w:rPr>
              <w:t>Approved Scheme 5: Business Pivot Fund - £841,374</w:t>
            </w:r>
          </w:p>
          <w:p w:rsidR="005043A3" w:rsidRPr="00DC6CCF" w:rsidRDefault="00DC6CCF" w:rsidP="00DC6CCF">
            <w:pPr>
              <w:rPr>
                <w:rFonts w:cs="Arial"/>
                <w:szCs w:val="24"/>
              </w:rPr>
            </w:pPr>
            <w:r w:rsidRPr="00DC6CCF">
              <w:rPr>
                <w:rFonts w:cs="Arial"/>
                <w:szCs w:val="24"/>
              </w:rPr>
              <w:t>Approved Scheme 6: Business support (where eligible) - £150,000.</w:t>
            </w:r>
          </w:p>
        </w:tc>
      </w:tr>
      <w:tr w:rsidR="00CC2D82" w:rsidRPr="00DC6CCF"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b/>
                <w:bCs/>
                <w:sz w:val="24"/>
                <w:szCs w:val="24"/>
              </w:rPr>
            </w:pPr>
            <w:r w:rsidRPr="00DC6CCF">
              <w:rPr>
                <w:rFonts w:cs="Arial"/>
                <w:b/>
                <w:bCs/>
                <w:sz w:val="24"/>
                <w:szCs w:val="24"/>
              </w:rPr>
              <w:lastRenderedPageBreak/>
              <w:t>Alternative options considered:</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DC6CCF" w:rsidP="00DC6CCF">
            <w:pPr>
              <w:rPr>
                <w:rFonts w:cs="Arial"/>
                <w:szCs w:val="24"/>
              </w:rPr>
            </w:pPr>
            <w:r w:rsidRPr="00DC6CCF">
              <w:rPr>
                <w:rFonts w:cs="Arial"/>
                <w:szCs w:val="24"/>
              </w:rPr>
              <w:t>To not seek to obtain additional funds would represent a missed opportunity for the Council to support businesses struggling with the impacts of the pandemic.</w:t>
            </w:r>
          </w:p>
        </w:tc>
      </w:tr>
      <w:tr w:rsidR="00CC2D82" w:rsidRPr="00DC6CCF"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b/>
                <w:bCs/>
                <w:sz w:val="24"/>
                <w:szCs w:val="24"/>
              </w:rPr>
            </w:pPr>
            <w:r w:rsidRPr="00DC6CCF">
              <w:rPr>
                <w:rFonts w:cs="Arial"/>
                <w:b/>
                <w:bCs/>
                <w:sz w:val="24"/>
                <w:szCs w:val="24"/>
              </w:rPr>
              <w:t>Wards</w:t>
            </w:r>
            <w:r w:rsidR="005043A3" w:rsidRPr="00DC6CCF">
              <w:rPr>
                <w:rFonts w:cs="Arial"/>
                <w:b/>
                <w:bCs/>
                <w:sz w:val="24"/>
                <w:szCs w:val="24"/>
              </w:rPr>
              <w:t xml:space="preserve"> significantly</w:t>
            </w:r>
            <w:r w:rsidRPr="00DC6CCF">
              <w:rPr>
                <w:rFonts w:cs="Arial"/>
                <w:b/>
                <w:bCs/>
                <w:sz w:val="24"/>
                <w:szCs w:val="24"/>
              </w:rPr>
              <w:t xml:space="preserve"> affected</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sz w:val="24"/>
                <w:szCs w:val="24"/>
              </w:rPr>
            </w:pPr>
            <w:r w:rsidRPr="00DC6CCF">
              <w:rPr>
                <w:rFonts w:cs="Arial"/>
                <w:sz w:val="24"/>
                <w:szCs w:val="24"/>
              </w:rPr>
              <w:t>None</w:t>
            </w:r>
          </w:p>
        </w:tc>
      </w:tr>
      <w:tr w:rsidR="00CC2D82" w:rsidRPr="00DC6CCF"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b/>
                <w:bCs/>
                <w:sz w:val="24"/>
                <w:szCs w:val="24"/>
              </w:rPr>
            </w:pPr>
            <w:r w:rsidRPr="00DC6CCF">
              <w:rPr>
                <w:rFonts w:cs="Arial"/>
                <w:b/>
                <w:bCs/>
                <w:sz w:val="24"/>
                <w:szCs w:val="24"/>
              </w:rPr>
              <w:t>Declared conflict of interest:</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DC6CCF" w:rsidRDefault="00CC2D82" w:rsidP="00DC6CCF">
            <w:pPr>
              <w:pStyle w:val="Normal17"/>
              <w:rPr>
                <w:rFonts w:cs="Arial"/>
                <w:bCs/>
                <w:sz w:val="24"/>
                <w:szCs w:val="24"/>
              </w:rPr>
            </w:pPr>
            <w:r w:rsidRPr="00DC6CCF">
              <w:rPr>
                <w:rFonts w:cs="Arial"/>
                <w:sz w:val="24"/>
                <w:szCs w:val="24"/>
              </w:rPr>
              <w:t>None</w:t>
            </w:r>
          </w:p>
        </w:tc>
      </w:tr>
      <w:tr w:rsidR="00ED0FD4" w:rsidRPr="00DC6CCF" w:rsidTr="00DC6CCF">
        <w:tblPrEx>
          <w:tblCellMar>
            <w:top w:w="0" w:type="dxa"/>
            <w:left w:w="108" w:type="dxa"/>
            <w:right w:w="108" w:type="dxa"/>
          </w:tblCellMar>
          <w:tblLook w:val="04A0" w:firstRow="1" w:lastRow="0" w:firstColumn="1" w:lastColumn="0" w:noHBand="0" w:noVBand="1"/>
        </w:tblPrEx>
        <w:trPr>
          <w:gridAfter w:val="1"/>
          <w:wAfter w:w="310" w:type="dxa"/>
        </w:trPr>
        <w:tc>
          <w:tcPr>
            <w:tcW w:w="4633" w:type="dxa"/>
            <w:gridSpan w:val="3"/>
            <w:tcBorders>
              <w:top w:val="nil"/>
              <w:left w:val="nil"/>
              <w:bottom w:val="nil"/>
              <w:right w:val="nil"/>
            </w:tcBorders>
            <w:shd w:val="clear" w:color="auto" w:fill="auto"/>
          </w:tcPr>
          <w:p w:rsidR="00DC6CCF" w:rsidRDefault="00DC6CCF" w:rsidP="00DC6CCF">
            <w:pPr>
              <w:pStyle w:val="Normal15"/>
              <w:rPr>
                <w:rFonts w:cs="Arial"/>
                <w:b/>
                <w:bCs/>
                <w:sz w:val="24"/>
                <w:szCs w:val="24"/>
              </w:rPr>
            </w:pPr>
          </w:p>
          <w:p w:rsidR="00DC6CCF" w:rsidRDefault="00DC6CCF" w:rsidP="00DC6CCF">
            <w:pPr>
              <w:pStyle w:val="Normal15"/>
              <w:rPr>
                <w:rFonts w:cs="Arial"/>
                <w:b/>
                <w:bCs/>
                <w:sz w:val="24"/>
                <w:szCs w:val="24"/>
              </w:rPr>
            </w:pPr>
            <w:bookmarkStart w:id="0" w:name="_GoBack"/>
            <w:bookmarkEnd w:id="0"/>
          </w:p>
          <w:p w:rsidR="00DC6CCF" w:rsidRPr="00DC6CCF" w:rsidRDefault="00DC6CCF" w:rsidP="00DC6CCF">
            <w:pPr>
              <w:pStyle w:val="Normal15"/>
              <w:rPr>
                <w:rFonts w:cs="Arial"/>
                <w:b/>
                <w:bCs/>
                <w:sz w:val="24"/>
                <w:szCs w:val="24"/>
              </w:rPr>
            </w:pPr>
          </w:p>
        </w:tc>
        <w:tc>
          <w:tcPr>
            <w:tcW w:w="4418" w:type="dxa"/>
            <w:tcBorders>
              <w:top w:val="nil"/>
              <w:left w:val="nil"/>
              <w:bottom w:val="nil"/>
              <w:right w:val="nil"/>
            </w:tcBorders>
            <w:shd w:val="clear" w:color="auto" w:fill="auto"/>
          </w:tcPr>
          <w:p w:rsidR="00ED0FD4" w:rsidRPr="00DC6CCF" w:rsidRDefault="00ED0FD4" w:rsidP="00DC6CCF">
            <w:pPr>
              <w:pStyle w:val="Normal15"/>
              <w:rPr>
                <w:rFonts w:cs="Arial"/>
                <w:sz w:val="24"/>
                <w:szCs w:val="24"/>
              </w:rPr>
            </w:pPr>
          </w:p>
          <w:p w:rsidR="00ED0FD4" w:rsidRPr="00DC6CCF" w:rsidRDefault="00ED0FD4" w:rsidP="00DC6CCF">
            <w:pPr>
              <w:pStyle w:val="Normal15"/>
              <w:rPr>
                <w:rFonts w:cs="Arial"/>
                <w:sz w:val="24"/>
                <w:szCs w:val="24"/>
              </w:rPr>
            </w:pPr>
          </w:p>
        </w:tc>
      </w:tr>
    </w:tbl>
    <w:p w:rsidR="00ED0FD4" w:rsidRPr="00DC6CCF" w:rsidRDefault="00ED0FD4" w:rsidP="00DC6CCF">
      <w:pPr>
        <w:rPr>
          <w:rFonts w:cs="Arial"/>
          <w:vanish/>
          <w:szCs w:val="24"/>
        </w:rPr>
      </w:pPr>
      <w:r w:rsidRPr="00DC6CCF">
        <w:rPr>
          <w:rFonts w:cs="Arial"/>
          <w:vanish/>
          <w:szCs w:val="24"/>
        </w:rPr>
        <w:t>&lt;/PI3&gt;</w:t>
      </w:r>
    </w:p>
    <w:p w:rsidR="00ED0FD4" w:rsidRPr="00DC6CCF" w:rsidRDefault="00ED0FD4" w:rsidP="00DC6CCF">
      <w:pPr>
        <w:rPr>
          <w:rFonts w:cs="Arial"/>
          <w:vanish/>
          <w:szCs w:val="24"/>
        </w:rPr>
      </w:pPr>
      <w:r w:rsidRPr="00DC6CCF">
        <w:rPr>
          <w:rFonts w:cs="Arial"/>
          <w:vanish/>
          <w:szCs w:val="24"/>
        </w:rPr>
        <w:t>&lt;PI4&gt;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692"/>
      </w:tblGrid>
      <w:tr w:rsidR="00ED0FD4" w:rsidRPr="00DC6CCF" w:rsidTr="00DC6CCF">
        <w:tc>
          <w:tcPr>
            <w:tcW w:w="1137" w:type="dxa"/>
            <w:noWrap/>
          </w:tcPr>
          <w:p w:rsidR="00ED0FD4" w:rsidRPr="00DC6CCF" w:rsidRDefault="00ED0FD4" w:rsidP="00DC6CCF">
            <w:pPr>
              <w:pStyle w:val="Normal16"/>
              <w:overflowPunct/>
              <w:autoSpaceDE/>
              <w:autoSpaceDN/>
              <w:adjustRightInd/>
              <w:textAlignment w:val="auto"/>
              <w:rPr>
                <w:rFonts w:cs="Arial"/>
                <w:b/>
                <w:sz w:val="24"/>
                <w:szCs w:val="24"/>
              </w:rPr>
            </w:pPr>
            <w:r w:rsidRPr="00DC6CCF">
              <w:rPr>
                <w:rFonts w:cs="Arial"/>
                <w:b/>
                <w:sz w:val="24"/>
                <w:szCs w:val="24"/>
                <w:bdr w:val="nil"/>
              </w:rPr>
              <w:t xml:space="preserve">ITEM </w:t>
            </w:r>
            <w:r w:rsidR="00CC2D82" w:rsidRPr="00DC6CCF">
              <w:rPr>
                <w:rFonts w:cs="Arial"/>
                <w:b/>
                <w:sz w:val="24"/>
                <w:szCs w:val="24"/>
                <w:bdr w:val="nil"/>
              </w:rPr>
              <w:t>2</w:t>
            </w:r>
          </w:p>
        </w:tc>
        <w:tc>
          <w:tcPr>
            <w:tcW w:w="8219" w:type="dxa"/>
            <w:gridSpan w:val="2"/>
          </w:tcPr>
          <w:p w:rsidR="00ED0FD4" w:rsidRPr="00DC6CCF" w:rsidRDefault="00DC6CCF" w:rsidP="00DC6CCF">
            <w:pPr>
              <w:pStyle w:val="Normal16"/>
              <w:rPr>
                <w:rFonts w:cs="Arial"/>
                <w:b/>
                <w:caps/>
                <w:sz w:val="24"/>
                <w:szCs w:val="24"/>
              </w:rPr>
            </w:pPr>
            <w:r w:rsidRPr="00DC6CCF">
              <w:rPr>
                <w:rFonts w:cs="Arial"/>
                <w:b/>
                <w:caps/>
                <w:sz w:val="24"/>
                <w:szCs w:val="24"/>
              </w:rPr>
              <w:t>To set the amount of rent for the shared ownership properties being delivered at Rose Hill</w:t>
            </w:r>
          </w:p>
        </w:tc>
      </w:tr>
      <w:tr w:rsidR="00ED0FD4" w:rsidRPr="00DC6CCF" w:rsidTr="00DC6CCF">
        <w:tblPrEx>
          <w:tblCellMar>
            <w:top w:w="0" w:type="dxa"/>
            <w:left w:w="108" w:type="dxa"/>
            <w:right w:w="108" w:type="dxa"/>
          </w:tblCellMar>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Cs/>
                <w:sz w:val="24"/>
                <w:szCs w:val="24"/>
              </w:rPr>
            </w:pPr>
            <w:r w:rsidRPr="00DC6CCF">
              <w:rPr>
                <w:rFonts w:cs="Arial"/>
                <w:b/>
                <w:bCs/>
                <w:sz w:val="24"/>
                <w:szCs w:val="24"/>
              </w:rPr>
              <w:t xml:space="preserve">Decision: </w:t>
            </w:r>
          </w:p>
          <w:p w:rsidR="00ED0FD4" w:rsidRPr="00DC6CCF" w:rsidRDefault="00DC6CCF" w:rsidP="00DC6CCF">
            <w:pPr>
              <w:rPr>
                <w:rFonts w:cs="Arial"/>
                <w:szCs w:val="24"/>
              </w:rPr>
            </w:pPr>
            <w:r w:rsidRPr="00DC6CCF">
              <w:rPr>
                <w:rFonts w:cs="Arial"/>
                <w:szCs w:val="24"/>
              </w:rPr>
              <w:t>To set the rent levels for the 25 shared ownership properties at the Rose Hill site at 2% of the value of the unsold equity share.</w:t>
            </w:r>
          </w:p>
        </w:tc>
      </w:tr>
      <w:tr w:rsidR="00ED0FD4" w:rsidRPr="00DC6CCF" w:rsidTr="00DC6CCF">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
                <w:bCs/>
                <w:sz w:val="24"/>
                <w:szCs w:val="24"/>
              </w:rPr>
            </w:pPr>
            <w:r w:rsidRPr="00DC6CCF">
              <w:rPr>
                <w:rFonts w:cs="Arial"/>
                <w:b/>
                <w:bCs/>
                <w:sz w:val="24"/>
                <w:szCs w:val="24"/>
              </w:rPr>
              <w:t>Date decision made:</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DC6CCF" w:rsidP="00DC6CCF">
            <w:pPr>
              <w:pStyle w:val="Normal16"/>
              <w:rPr>
                <w:rFonts w:cs="Arial"/>
                <w:sz w:val="24"/>
                <w:szCs w:val="24"/>
              </w:rPr>
            </w:pPr>
            <w:r>
              <w:rPr>
                <w:rFonts w:cs="Arial"/>
                <w:sz w:val="24"/>
                <w:szCs w:val="24"/>
              </w:rPr>
              <w:t>22 April 2021</w:t>
            </w:r>
          </w:p>
        </w:tc>
      </w:tr>
      <w:tr w:rsidR="00ED0FD4" w:rsidRPr="00DC6CCF" w:rsidTr="00DC6CCF">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
                <w:bCs/>
                <w:sz w:val="24"/>
                <w:szCs w:val="24"/>
              </w:rPr>
            </w:pPr>
            <w:r w:rsidRPr="00DC6CCF">
              <w:rPr>
                <w:rFonts w:cs="Arial"/>
                <w:b/>
                <w:bCs/>
                <w:sz w:val="24"/>
                <w:szCs w:val="24"/>
              </w:rPr>
              <w:t>Decision taker</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DC6CCF" w:rsidP="00DC6CCF">
            <w:pPr>
              <w:pStyle w:val="Normal16"/>
              <w:rPr>
                <w:rFonts w:cs="Arial"/>
                <w:sz w:val="24"/>
                <w:szCs w:val="24"/>
                <w:bdr w:val="nil"/>
              </w:rPr>
            </w:pPr>
            <w:r>
              <w:rPr>
                <w:rFonts w:cs="Arial"/>
                <w:sz w:val="24"/>
                <w:szCs w:val="24"/>
                <w:bdr w:val="nil"/>
              </w:rPr>
              <w:t xml:space="preserve">Caroline Green, </w:t>
            </w:r>
            <w:r w:rsidR="005043A3" w:rsidRPr="00DC6CCF">
              <w:rPr>
                <w:rFonts w:cs="Arial"/>
                <w:sz w:val="24"/>
                <w:szCs w:val="24"/>
                <w:bdr w:val="nil"/>
              </w:rPr>
              <w:t>Head of Paid Service (</w:t>
            </w:r>
            <w:r w:rsidR="00ED0FD4" w:rsidRPr="00DC6CCF">
              <w:rPr>
                <w:rFonts w:cs="Arial"/>
                <w:sz w:val="24"/>
                <w:szCs w:val="24"/>
                <w:bdr w:val="nil"/>
              </w:rPr>
              <w:t>Chief Executive</w:t>
            </w:r>
            <w:r w:rsidR="005043A3" w:rsidRPr="00DC6CCF">
              <w:rPr>
                <w:rFonts w:cs="Arial"/>
                <w:sz w:val="24"/>
                <w:szCs w:val="24"/>
                <w:bdr w:val="nil"/>
              </w:rPr>
              <w:t>)</w:t>
            </w:r>
          </w:p>
          <w:p w:rsidR="00DC6CCF" w:rsidRPr="00DC6CCF" w:rsidRDefault="00DC6CCF" w:rsidP="00DC6CCF">
            <w:pPr>
              <w:pStyle w:val="Normal16"/>
              <w:rPr>
                <w:rFonts w:cs="Arial"/>
                <w:sz w:val="24"/>
                <w:szCs w:val="24"/>
                <w:bdr w:val="nil"/>
              </w:rPr>
            </w:pPr>
          </w:p>
          <w:p w:rsidR="00DC6CCF" w:rsidRPr="00DC6CCF" w:rsidRDefault="00DC6CCF" w:rsidP="00DC6CCF">
            <w:pPr>
              <w:pStyle w:val="Normal16"/>
              <w:rPr>
                <w:rFonts w:cs="Arial"/>
                <w:sz w:val="24"/>
                <w:szCs w:val="24"/>
              </w:rPr>
            </w:pPr>
            <w:r w:rsidRPr="00DC6CCF">
              <w:rPr>
                <w:rFonts w:cs="Arial"/>
                <w:sz w:val="24"/>
                <w:szCs w:val="24"/>
                <w:bdr w:val="nil"/>
              </w:rPr>
              <w:t xml:space="preserve">Decision taken in consultation with Cllr Mike Rowley, Cabinet Member for Affordable Housing, </w:t>
            </w:r>
            <w:r w:rsidRPr="00DC6CCF">
              <w:rPr>
                <w:rFonts w:cs="Arial"/>
                <w:sz w:val="24"/>
                <w:szCs w:val="24"/>
                <w:bdr w:val="nil"/>
              </w:rPr>
              <w:lastRenderedPageBreak/>
              <w:t>Nigel Kennedy, Head of Financial Services and Susan Sale, Head of Law and Governance.</w:t>
            </w:r>
          </w:p>
        </w:tc>
      </w:tr>
      <w:tr w:rsidR="00D23270" w:rsidRPr="00DC6CCF" w:rsidTr="00DC6CCF">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D23270" w:rsidRPr="00DC6CCF" w:rsidRDefault="00D23270" w:rsidP="00DC6CCF">
            <w:pPr>
              <w:spacing w:before="120"/>
              <w:rPr>
                <w:rFonts w:cs="Arial"/>
                <w:szCs w:val="24"/>
              </w:rPr>
            </w:pPr>
            <w:r w:rsidRPr="00DC6CCF">
              <w:rPr>
                <w:rFonts w:cs="Arial"/>
                <w:b/>
                <w:szCs w:val="24"/>
              </w:rPr>
              <w:lastRenderedPageBreak/>
              <w:t>Was the decision taken under emergency or urgency rules?</w:t>
            </w:r>
          </w:p>
        </w:tc>
        <w:tc>
          <w:tcPr>
            <w:tcW w:w="5692" w:type="dxa"/>
            <w:shd w:val="clear" w:color="auto" w:fill="auto"/>
          </w:tcPr>
          <w:p w:rsidR="00D23270" w:rsidRPr="00DC6CCF" w:rsidRDefault="00D23270" w:rsidP="00DC6CCF">
            <w:pPr>
              <w:rPr>
                <w:rFonts w:cs="Arial"/>
                <w:szCs w:val="24"/>
              </w:rPr>
            </w:pPr>
          </w:p>
          <w:p w:rsidR="00D23270" w:rsidRPr="00DC6CCF" w:rsidRDefault="000169C3" w:rsidP="00DC6CCF">
            <w:pPr>
              <w:rPr>
                <w:rFonts w:cs="Arial"/>
                <w:szCs w:val="24"/>
              </w:rPr>
            </w:pPr>
            <w:r w:rsidRPr="00DC6CCF">
              <w:rPr>
                <w:rFonts w:cs="Arial"/>
                <w:szCs w:val="24"/>
              </w:rPr>
              <w:t xml:space="preserve">Urgency </w:t>
            </w:r>
            <w:r w:rsidR="00D23270" w:rsidRPr="00DC6CCF">
              <w:rPr>
                <w:rFonts w:cs="Arial"/>
                <w:szCs w:val="24"/>
              </w:rPr>
              <w:t>– Constitution Part 9.3(</w:t>
            </w:r>
            <w:r w:rsidRPr="00DC6CCF">
              <w:rPr>
                <w:rFonts w:cs="Arial"/>
                <w:szCs w:val="24"/>
              </w:rPr>
              <w:t>b</w:t>
            </w:r>
            <w:r w:rsidR="00D23270" w:rsidRPr="00DC6CCF">
              <w:rPr>
                <w:rFonts w:cs="Arial"/>
                <w:szCs w:val="24"/>
              </w:rPr>
              <w:t>)</w:t>
            </w:r>
          </w:p>
        </w:tc>
      </w:tr>
      <w:tr w:rsidR="00ED0FD4" w:rsidRPr="00DC6CCF" w:rsidTr="00DC6CCF">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
                <w:bCs/>
                <w:sz w:val="24"/>
                <w:szCs w:val="24"/>
              </w:rPr>
            </w:pPr>
            <w:r w:rsidRPr="00DC6CCF">
              <w:rPr>
                <w:rFonts w:cs="Arial"/>
                <w:b/>
                <w:bCs/>
                <w:sz w:val="24"/>
                <w:szCs w:val="24"/>
              </w:rPr>
              <w:t>Is this a Key Decision?</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Cs/>
                <w:sz w:val="24"/>
                <w:szCs w:val="24"/>
              </w:rPr>
            </w:pPr>
            <w:r w:rsidRPr="00DC6CCF">
              <w:rPr>
                <w:rFonts w:cs="Arial"/>
                <w:bCs/>
                <w:sz w:val="24"/>
                <w:szCs w:val="24"/>
              </w:rPr>
              <w:t xml:space="preserve"> </w:t>
            </w:r>
            <w:r w:rsidR="00DC6CCF" w:rsidRPr="00DC6CCF">
              <w:rPr>
                <w:rFonts w:cs="Arial"/>
                <w:bCs/>
                <w:sz w:val="24"/>
                <w:szCs w:val="24"/>
              </w:rPr>
              <w:t>No</w:t>
            </w:r>
          </w:p>
        </w:tc>
      </w:tr>
      <w:tr w:rsidR="00ED0FD4" w:rsidRPr="00DC6CCF" w:rsidTr="00DC6CCF">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
                <w:bCs/>
                <w:sz w:val="24"/>
                <w:szCs w:val="24"/>
              </w:rPr>
            </w:pPr>
            <w:r w:rsidRPr="00DC6CCF">
              <w:rPr>
                <w:rFonts w:cs="Arial"/>
                <w:b/>
                <w:bCs/>
                <w:sz w:val="24"/>
                <w:szCs w:val="24"/>
              </w:rPr>
              <w:t>Reason</w:t>
            </w:r>
            <w:r w:rsidR="005043A3" w:rsidRPr="00DC6CCF">
              <w:rPr>
                <w:rFonts w:cs="Arial"/>
                <w:b/>
                <w:bCs/>
                <w:sz w:val="24"/>
                <w:szCs w:val="24"/>
              </w:rPr>
              <w:t>s</w:t>
            </w:r>
            <w:r w:rsidRPr="00DC6CCF">
              <w:rPr>
                <w:rFonts w:cs="Arial"/>
                <w:b/>
                <w:bCs/>
                <w:sz w:val="24"/>
                <w:szCs w:val="24"/>
              </w:rPr>
              <w:t xml:space="preserve"> for decision</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DC6CCF" w:rsidP="00DC6CCF">
            <w:pPr>
              <w:rPr>
                <w:rFonts w:cs="Arial"/>
                <w:szCs w:val="24"/>
              </w:rPr>
            </w:pPr>
            <w:r w:rsidRPr="00DC6CCF">
              <w:rPr>
                <w:rFonts w:cs="Arial"/>
                <w:szCs w:val="24"/>
              </w:rPr>
              <w:t>The council does not currently have a rent setting policy for shared ownership properties, with properties currently being marketed and due to be handed over in June. Paragraph 18.8 of the Council’s Constitution allows for Council to agree the setting of charges for rents. Ahead of the next Cabinet and Council meetings a urgent decision is required to protect the Council’s interests</w:t>
            </w:r>
          </w:p>
        </w:tc>
      </w:tr>
      <w:tr w:rsidR="00ED0FD4" w:rsidRPr="00DC6CCF" w:rsidTr="00DC6CCF">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
                <w:bCs/>
                <w:sz w:val="24"/>
                <w:szCs w:val="24"/>
              </w:rPr>
            </w:pPr>
            <w:r w:rsidRPr="00DC6CCF">
              <w:rPr>
                <w:rFonts w:cs="Arial"/>
                <w:b/>
                <w:bCs/>
                <w:sz w:val="24"/>
                <w:szCs w:val="24"/>
              </w:rPr>
              <w:t>Alternative options considered:</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DC6CCF" w:rsidRPr="00DC6CCF" w:rsidRDefault="00DC6CCF" w:rsidP="00DC6CCF">
            <w:pPr>
              <w:shd w:val="clear" w:color="auto" w:fill="FFFFFF"/>
              <w:tabs>
                <w:tab w:val="clear" w:pos="426"/>
              </w:tabs>
              <w:spacing w:after="0"/>
              <w:rPr>
                <w:rFonts w:cs="Arial"/>
                <w:szCs w:val="24"/>
                <w:lang w:eastAsia="en-GB"/>
              </w:rPr>
            </w:pPr>
            <w:r w:rsidRPr="00DC6CCF">
              <w:rPr>
                <w:rFonts w:cs="Arial"/>
                <w:szCs w:val="24"/>
                <w:lang w:eastAsia="en-GB"/>
              </w:rPr>
              <w:t>Additional meetings of Cabinet and Council – impractical, in particular during an election.</w:t>
            </w:r>
          </w:p>
          <w:p w:rsidR="00DC6CCF" w:rsidRPr="00DC6CCF" w:rsidRDefault="00DC6CCF" w:rsidP="00DC6CCF">
            <w:pPr>
              <w:shd w:val="clear" w:color="auto" w:fill="FFFFFF"/>
              <w:tabs>
                <w:tab w:val="clear" w:pos="426"/>
              </w:tabs>
              <w:spacing w:after="0"/>
              <w:rPr>
                <w:rFonts w:cs="Arial"/>
                <w:szCs w:val="24"/>
                <w:lang w:eastAsia="en-GB"/>
              </w:rPr>
            </w:pPr>
          </w:p>
          <w:p w:rsidR="00ED0FD4" w:rsidRPr="00DC6CCF" w:rsidRDefault="00DC6CCF" w:rsidP="00DC6CCF">
            <w:pPr>
              <w:shd w:val="clear" w:color="auto" w:fill="FFFFFF"/>
              <w:tabs>
                <w:tab w:val="clear" w:pos="426"/>
              </w:tabs>
              <w:spacing w:after="0"/>
              <w:rPr>
                <w:rFonts w:cs="Arial"/>
                <w:szCs w:val="24"/>
                <w:lang w:eastAsia="en-GB"/>
              </w:rPr>
            </w:pPr>
            <w:r w:rsidRPr="00DC6CCF">
              <w:rPr>
                <w:rFonts w:cs="Arial"/>
                <w:szCs w:val="24"/>
                <w:lang w:eastAsia="en-GB"/>
              </w:rPr>
              <w:t>To have moved ahead with advertising and sales without legal power to set rent level – carrying financial and reputational risk.</w:t>
            </w:r>
          </w:p>
        </w:tc>
      </w:tr>
      <w:tr w:rsidR="00ED0FD4" w:rsidRPr="00DC6CCF" w:rsidTr="00DC6CCF">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
                <w:bCs/>
                <w:sz w:val="24"/>
                <w:szCs w:val="24"/>
              </w:rPr>
            </w:pPr>
            <w:r w:rsidRPr="00DC6CCF">
              <w:rPr>
                <w:rFonts w:cs="Arial"/>
                <w:b/>
                <w:bCs/>
                <w:sz w:val="24"/>
                <w:szCs w:val="24"/>
              </w:rPr>
              <w:t xml:space="preserve">Wards </w:t>
            </w:r>
            <w:r w:rsidR="005043A3" w:rsidRPr="00DC6CCF">
              <w:rPr>
                <w:rFonts w:cs="Arial"/>
                <w:b/>
                <w:bCs/>
                <w:sz w:val="24"/>
                <w:szCs w:val="24"/>
              </w:rPr>
              <w:t xml:space="preserve">significantly </w:t>
            </w:r>
            <w:r w:rsidRPr="00DC6CCF">
              <w:rPr>
                <w:rFonts w:cs="Arial"/>
                <w:b/>
                <w:bCs/>
                <w:sz w:val="24"/>
                <w:szCs w:val="24"/>
              </w:rPr>
              <w:t>affected</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821101" w:rsidP="00DC6CCF">
            <w:pPr>
              <w:pStyle w:val="Normal16"/>
              <w:rPr>
                <w:rFonts w:cs="Arial"/>
                <w:sz w:val="24"/>
                <w:szCs w:val="24"/>
              </w:rPr>
            </w:pPr>
            <w:r w:rsidRPr="00DC6CCF">
              <w:rPr>
                <w:rFonts w:cs="Arial"/>
                <w:sz w:val="24"/>
                <w:szCs w:val="24"/>
              </w:rPr>
              <w:t>None</w:t>
            </w:r>
          </w:p>
        </w:tc>
      </w:tr>
      <w:tr w:rsidR="00ED0FD4" w:rsidRPr="00DC6CCF" w:rsidTr="00DC6CCF">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
                <w:bCs/>
                <w:sz w:val="24"/>
                <w:szCs w:val="24"/>
              </w:rPr>
            </w:pPr>
            <w:r w:rsidRPr="00DC6CCF">
              <w:rPr>
                <w:rFonts w:cs="Arial"/>
                <w:b/>
                <w:bCs/>
                <w:sz w:val="24"/>
                <w:szCs w:val="24"/>
              </w:rPr>
              <w:t>Declared conflict of interest:</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ED0FD4" w:rsidRPr="00DC6CCF" w:rsidRDefault="00ED0FD4" w:rsidP="00DC6CCF">
            <w:pPr>
              <w:pStyle w:val="Normal16"/>
              <w:rPr>
                <w:rFonts w:cs="Arial"/>
                <w:bCs/>
                <w:sz w:val="24"/>
                <w:szCs w:val="24"/>
              </w:rPr>
            </w:pPr>
            <w:r w:rsidRPr="00DC6CCF">
              <w:rPr>
                <w:rFonts w:cs="Arial"/>
                <w:sz w:val="24"/>
                <w:szCs w:val="24"/>
              </w:rPr>
              <w:t>None</w:t>
            </w:r>
          </w:p>
        </w:tc>
      </w:tr>
    </w:tbl>
    <w:p w:rsidR="000169C3" w:rsidRPr="00DC6CCF" w:rsidRDefault="000169C3" w:rsidP="00B365E3">
      <w:pPr>
        <w:pStyle w:val="Heading1"/>
        <w:rPr>
          <w:szCs w:val="24"/>
        </w:rPr>
      </w:pPr>
    </w:p>
    <w:p w:rsidR="00B365E3" w:rsidRPr="00DC6CCF" w:rsidRDefault="00B365E3" w:rsidP="00B365E3">
      <w:pPr>
        <w:pStyle w:val="Heading1"/>
        <w:rPr>
          <w:szCs w:val="24"/>
        </w:rPr>
      </w:pPr>
      <w:r w:rsidRPr="00DC6CCF">
        <w:rPr>
          <w:szCs w:val="24"/>
        </w:rPr>
        <w:t>Financial issues</w:t>
      </w:r>
    </w:p>
    <w:p w:rsidR="00B365E3" w:rsidRPr="00DC6CCF" w:rsidRDefault="00D35A7A" w:rsidP="00993F51">
      <w:pPr>
        <w:pStyle w:val="ListParagraph"/>
        <w:ind w:left="426" w:hanging="426"/>
        <w:rPr>
          <w:rFonts w:cs="Arial"/>
          <w:szCs w:val="24"/>
        </w:rPr>
      </w:pPr>
      <w:r w:rsidRPr="00DC6CCF">
        <w:rPr>
          <w:rFonts w:cs="Arial"/>
          <w:szCs w:val="24"/>
        </w:rPr>
        <w:t>There are no financial issues arising beyond those set out in the documents attached to the published decisions.</w:t>
      </w:r>
    </w:p>
    <w:p w:rsidR="00B365E3" w:rsidRPr="00DC6CCF" w:rsidRDefault="00B365E3" w:rsidP="00D35A7A">
      <w:pPr>
        <w:pStyle w:val="Heading1"/>
        <w:rPr>
          <w:szCs w:val="24"/>
        </w:rPr>
      </w:pPr>
      <w:r w:rsidRPr="00DC6CCF">
        <w:rPr>
          <w:szCs w:val="24"/>
        </w:rPr>
        <w:t>Legal issues</w:t>
      </w:r>
    </w:p>
    <w:p w:rsidR="00B365E3" w:rsidRPr="00DC6CCF" w:rsidRDefault="00D35A7A" w:rsidP="00993F51">
      <w:pPr>
        <w:pStyle w:val="ListParagraph"/>
        <w:ind w:left="426" w:hanging="426"/>
        <w:rPr>
          <w:rFonts w:cs="Arial"/>
          <w:szCs w:val="24"/>
        </w:rPr>
      </w:pPr>
      <w:r w:rsidRPr="00DC6CCF">
        <w:rPr>
          <w:rFonts w:cs="Arial"/>
          <w:szCs w:val="24"/>
        </w:rPr>
        <w:t xml:space="preserve">The </w:t>
      </w:r>
      <w:r w:rsidR="00DC3B68" w:rsidRPr="00DC6CCF">
        <w:rPr>
          <w:rFonts w:cs="Arial"/>
          <w:szCs w:val="24"/>
        </w:rPr>
        <w:t xml:space="preserve">urgency </w:t>
      </w:r>
      <w:r w:rsidRPr="00DC6CCF">
        <w:rPr>
          <w:rFonts w:cs="Arial"/>
          <w:szCs w:val="24"/>
        </w:rPr>
        <w:t>powers</w:t>
      </w:r>
      <w:r w:rsidR="00DB59F5" w:rsidRPr="00DC6CCF">
        <w:rPr>
          <w:rFonts w:cs="Arial"/>
          <w:szCs w:val="24"/>
        </w:rPr>
        <w:t xml:space="preserve"> of the Head of Paid Service (Chief Executive)</w:t>
      </w:r>
      <w:r w:rsidRPr="00DC6CCF">
        <w:rPr>
          <w:rFonts w:cs="Arial"/>
          <w:szCs w:val="24"/>
        </w:rPr>
        <w:t xml:space="preserve"> are set out in the Constitution. </w:t>
      </w:r>
    </w:p>
    <w:p w:rsidR="00B12E70" w:rsidRDefault="00B12E70" w:rsidP="009B76B7">
      <w:pPr>
        <w:pStyle w:val="ListParagraph"/>
        <w:numPr>
          <w:ilvl w:val="0"/>
          <w:numId w:val="0"/>
        </w:numPr>
        <w:spacing w:after="0"/>
        <w:ind w:left="72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 xml:space="preserve">Background Papers: </w:t>
            </w:r>
            <w:r w:rsidRPr="000169C3">
              <w:rPr>
                <w:rStyle w:val="Firstpagetablebold"/>
                <w:b w:val="0"/>
              </w:rPr>
              <w:t>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0A" w:rsidRDefault="0099330A" w:rsidP="00BB4116">
      <w:r>
        <w:separator/>
      </w:r>
    </w:p>
    <w:p w:rsidR="0099330A" w:rsidRDefault="0099330A" w:rsidP="00BB4116"/>
  </w:endnote>
  <w:endnote w:type="continuationSeparator" w:id="0">
    <w:p w:rsidR="0099330A" w:rsidRDefault="0099330A" w:rsidP="00BB4116">
      <w:r>
        <w:continuationSeparator/>
      </w:r>
    </w:p>
    <w:p w:rsidR="0099330A" w:rsidRDefault="0099330A"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0A" w:rsidRDefault="0099330A" w:rsidP="00BB4116">
      <w:r>
        <w:separator/>
      </w:r>
    </w:p>
    <w:p w:rsidR="0099330A" w:rsidRDefault="0099330A" w:rsidP="00BB4116"/>
  </w:footnote>
  <w:footnote w:type="continuationSeparator" w:id="0">
    <w:p w:rsidR="0099330A" w:rsidRDefault="0099330A" w:rsidP="00BB4116">
      <w:r>
        <w:continuationSeparator/>
      </w:r>
    </w:p>
    <w:p w:rsidR="0099330A" w:rsidRDefault="0099330A"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169C3"/>
    <w:rsid w:val="00072F63"/>
    <w:rsid w:val="000C3011"/>
    <w:rsid w:val="001D1097"/>
    <w:rsid w:val="0026383C"/>
    <w:rsid w:val="00286CF6"/>
    <w:rsid w:val="003266F2"/>
    <w:rsid w:val="00347BAC"/>
    <w:rsid w:val="00347C6E"/>
    <w:rsid w:val="00371BAC"/>
    <w:rsid w:val="003D56D2"/>
    <w:rsid w:val="0043307F"/>
    <w:rsid w:val="004D29FE"/>
    <w:rsid w:val="005043A3"/>
    <w:rsid w:val="00560426"/>
    <w:rsid w:val="005C1B66"/>
    <w:rsid w:val="006E23EA"/>
    <w:rsid w:val="0076343A"/>
    <w:rsid w:val="007D79E8"/>
    <w:rsid w:val="00821101"/>
    <w:rsid w:val="0099330A"/>
    <w:rsid w:val="00993F51"/>
    <w:rsid w:val="009B76B7"/>
    <w:rsid w:val="009C0464"/>
    <w:rsid w:val="00A608BE"/>
    <w:rsid w:val="00B12E70"/>
    <w:rsid w:val="00B30803"/>
    <w:rsid w:val="00B365E3"/>
    <w:rsid w:val="00B946D4"/>
    <w:rsid w:val="00BB4116"/>
    <w:rsid w:val="00BC313A"/>
    <w:rsid w:val="00CB1D9E"/>
    <w:rsid w:val="00CB2FF8"/>
    <w:rsid w:val="00CC2D82"/>
    <w:rsid w:val="00CD377E"/>
    <w:rsid w:val="00CF05DA"/>
    <w:rsid w:val="00D23270"/>
    <w:rsid w:val="00D35A7A"/>
    <w:rsid w:val="00DB42E2"/>
    <w:rsid w:val="00DB59F5"/>
    <w:rsid w:val="00DC3B68"/>
    <w:rsid w:val="00DC6CCF"/>
    <w:rsid w:val="00ED0FD4"/>
    <w:rsid w:val="00EF4BF4"/>
    <w:rsid w:val="00F9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341904675">
      <w:bodyDiv w:val="1"/>
      <w:marLeft w:val="0"/>
      <w:marRight w:val="0"/>
      <w:marTop w:val="0"/>
      <w:marBottom w:val="0"/>
      <w:divBdr>
        <w:top w:val="none" w:sz="0" w:space="0" w:color="auto"/>
        <w:left w:val="none" w:sz="0" w:space="0" w:color="auto"/>
        <w:bottom w:val="none" w:sz="0" w:space="0" w:color="auto"/>
        <w:right w:val="none" w:sz="0" w:space="0" w:color="auto"/>
      </w:divBdr>
    </w:div>
    <w:div w:id="453057657">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056785007">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392314421">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768428641">
      <w:bodyDiv w:val="1"/>
      <w:marLeft w:val="0"/>
      <w:marRight w:val="0"/>
      <w:marTop w:val="0"/>
      <w:marBottom w:val="0"/>
      <w:divBdr>
        <w:top w:val="none" w:sz="0" w:space="0" w:color="auto"/>
        <w:left w:val="none" w:sz="0" w:space="0" w:color="auto"/>
        <w:bottom w:val="none" w:sz="0" w:space="0" w:color="auto"/>
        <w:right w:val="none" w:sz="0" w:space="0" w:color="auto"/>
      </w:divBdr>
    </w:div>
    <w:div w:id="2000035812">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BA57-97A7-46CA-A7B7-CF0FE8B8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E0058C5F</Template>
  <TotalTime>18</TotalTime>
  <Pages>4</Pages>
  <Words>1078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6930</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3</cp:revision>
  <cp:lastPrinted>2015-07-24T10:00:00Z</cp:lastPrinted>
  <dcterms:created xsi:type="dcterms:W3CDTF">2021-05-05T15:32:00Z</dcterms:created>
  <dcterms:modified xsi:type="dcterms:W3CDTF">2021-05-05T15:50:00Z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